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11F" w:rsidRPr="002F711F" w:rsidRDefault="002F711F" w:rsidP="002F711F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2F711F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2F711F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2F711F">
        <w:rPr>
          <w:rFonts w:ascii="Arial" w:eastAsia="Times New Roman" w:hAnsi="Arial" w:cs="Arial"/>
          <w:sz w:val="18"/>
          <w:szCs w:val="18"/>
          <w:lang w:eastAsia="pt-BR"/>
        </w:rPr>
        <w:t>115/2016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2F711F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FAMÍLIA </w:t>
      </w:r>
      <w:proofErr w:type="gramStart"/>
      <w:r w:rsidRPr="002F711F">
        <w:rPr>
          <w:rFonts w:ascii="Arial" w:eastAsia="Times New Roman" w:hAnsi="Arial" w:cs="Arial"/>
          <w:sz w:val="18"/>
          <w:szCs w:val="18"/>
          <w:lang w:eastAsia="pt-BR"/>
        </w:rPr>
        <w:t>III  DOS</w:t>
      </w:r>
      <w:proofErr w:type="gramEnd"/>
      <w:r w:rsidRPr="002F711F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08/11/2016  PODER EXECUTIVO, SEÇÃO I E, CONFORME INFORMAÇÃO DA COMISSÃO DE PREÇOS, NO PERÍODO COMPREENDIDO ENTRE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 19/04/2017 E 18/07/2017</w:t>
      </w:r>
      <w:bookmarkStart w:id="0" w:name="_GoBack"/>
      <w:bookmarkEnd w:id="0"/>
      <w:r w:rsidRPr="002F711F">
        <w:rPr>
          <w:rFonts w:ascii="Arial" w:eastAsia="Times New Roman" w:hAnsi="Arial" w:cs="Arial"/>
          <w:sz w:val="18"/>
          <w:szCs w:val="18"/>
          <w:lang w:eastAsia="pt-BR"/>
        </w:rPr>
        <w:t xml:space="preserve"> : NÃO OCORREU REEQUILÍBRIO ECONOMICO FINANCEIRO DE NENHUM DOS ITENS.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D10E2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24D3B"/>
    <w:rsid w:val="00337239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256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24BC8"/>
    <w:rsid w:val="009B68D2"/>
    <w:rsid w:val="009C09AA"/>
    <w:rsid w:val="00A071C0"/>
    <w:rsid w:val="00A1188F"/>
    <w:rsid w:val="00A11E6B"/>
    <w:rsid w:val="00A14B2A"/>
    <w:rsid w:val="00A449D6"/>
    <w:rsid w:val="00A773C9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44BC4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03FAC"/>
    <w:rsid w:val="00F07D91"/>
    <w:rsid w:val="00F2463A"/>
    <w:rsid w:val="00F32F4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2017-09-21T15:43:00Z</dcterms:created>
  <dcterms:modified xsi:type="dcterms:W3CDTF">2017-09-21T15:43:00Z</dcterms:modified>
</cp:coreProperties>
</file>